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577BF1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15.06.2021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577BF1">
        <w:rPr>
          <w:b w:val="0"/>
          <w:sz w:val="20"/>
          <w:szCs w:val="20"/>
          <w:u w:val="single"/>
          <w:lang w:val="en-US"/>
        </w:rPr>
        <w:t>150621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8"/>
        <w:gridCol w:w="185"/>
        <w:gridCol w:w="3640"/>
        <w:gridCol w:w="185"/>
        <w:gridCol w:w="4261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77BF1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Генеральний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директор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577BF1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Леоненко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Анатолiй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Анатолiйович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577BF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Зелений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Гай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577BF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577BF1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56541 Миколаївська область, Вознесенський район, село Бузьке вулиця </w:t>
            </w:r>
            <w:proofErr w:type="spellStart"/>
            <w:r>
              <w:rPr>
                <w:sz w:val="20"/>
                <w:szCs w:val="20"/>
                <w:lang w:val="uk-UA"/>
              </w:rPr>
              <w:t>Зеленогаївська</w:t>
            </w:r>
            <w:proofErr w:type="spellEnd"/>
            <w:r>
              <w:rPr>
                <w:sz w:val="20"/>
                <w:szCs w:val="20"/>
                <w:lang w:val="uk-UA"/>
              </w:rPr>
              <w:t>, будинок 12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577BF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00414090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577BF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05134-3-62-53 05134-3-89-40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577BF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takchuk777@gmail.com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на фондовому ринку,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77BF1" w:rsidRDefault="00577BF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577BF1" w:rsidRDefault="00577BF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77BF1" w:rsidRDefault="00577BF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577BF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на фондовому ринку,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577BF1" w:rsidRDefault="00577BF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577BF1" w:rsidRDefault="00577BF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577BF1" w:rsidRDefault="00577BF1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577BF1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22"/>
        <w:gridCol w:w="5469"/>
        <w:gridCol w:w="1545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77BF1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http://www.zelgay.pat.ua, https://smida.gov.ua/db/participant/00414090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577BF1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15.06.2021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tbl>
      <w:tblPr>
        <w:tblpPr w:leftFromText="45" w:rightFromText="45" w:vertAnchor="text" w:horzAnchor="margin" w:tblpXSpec="right" w:tblpY="-166"/>
        <w:tblW w:w="1943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56"/>
      </w:tblGrid>
      <w:tr w:rsidR="00640D4E" w:rsidTr="00640D4E">
        <w:trPr>
          <w:trHeight w:val="440"/>
          <w:tblCellSpacing w:w="22" w:type="dxa"/>
        </w:trPr>
        <w:tc>
          <w:tcPr>
            <w:tcW w:w="4888" w:type="pct"/>
            <w:hideMark/>
          </w:tcPr>
          <w:p w:rsidR="00640D4E" w:rsidRDefault="00640D4E">
            <w:pPr>
              <w:pStyle w:val="a4"/>
              <w:ind w:left="-284" w:firstLine="28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Додаток</w:t>
            </w:r>
            <w:proofErr w:type="spellEnd"/>
            <w:r>
              <w:rPr>
                <w:sz w:val="20"/>
                <w:szCs w:val="20"/>
              </w:rPr>
              <w:t xml:space="preserve"> 6</w:t>
            </w:r>
            <w:r>
              <w:rPr>
                <w:sz w:val="20"/>
                <w:szCs w:val="20"/>
              </w:rPr>
              <w:br/>
              <w:t xml:space="preserve">до </w:t>
            </w:r>
            <w:proofErr w:type="spellStart"/>
            <w:r>
              <w:rPr>
                <w:sz w:val="20"/>
                <w:szCs w:val="20"/>
              </w:rPr>
              <w:t>Положення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розкриття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інформації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емітентами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цінних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паперів</w:t>
            </w:r>
            <w:proofErr w:type="spellEnd"/>
            <w:r>
              <w:rPr>
                <w:sz w:val="20"/>
                <w:szCs w:val="20"/>
              </w:rPr>
              <w:br/>
              <w:t>(</w:t>
            </w:r>
            <w:proofErr w:type="spellStart"/>
            <w:r>
              <w:rPr>
                <w:sz w:val="20"/>
                <w:szCs w:val="20"/>
              </w:rPr>
              <w:t>пу</w:t>
            </w:r>
            <w:proofErr w:type="spellEnd"/>
            <w:r>
              <w:rPr>
                <w:sz w:val="20"/>
                <w:szCs w:val="20"/>
                <w:lang w:val="uk-UA"/>
              </w:rPr>
              <w:t>(</w:t>
            </w:r>
            <w:proofErr w:type="spellStart"/>
            <w:r>
              <w:rPr>
                <w:sz w:val="20"/>
                <w:szCs w:val="20"/>
                <w:lang w:val="uk-UA"/>
              </w:rPr>
              <w:t>пу</w:t>
            </w:r>
            <w:r>
              <w:rPr>
                <w:sz w:val="20"/>
                <w:szCs w:val="20"/>
              </w:rPr>
              <w:t>нкт</w:t>
            </w:r>
            <w:proofErr w:type="spellEnd"/>
            <w:r>
              <w:rPr>
                <w:sz w:val="20"/>
                <w:szCs w:val="20"/>
              </w:rPr>
              <w:t xml:space="preserve"> 7 </w:t>
            </w:r>
            <w:proofErr w:type="spellStart"/>
            <w:r>
              <w:rPr>
                <w:sz w:val="20"/>
                <w:szCs w:val="20"/>
              </w:rPr>
              <w:t>глави</w:t>
            </w:r>
            <w:proofErr w:type="spellEnd"/>
            <w:r>
              <w:rPr>
                <w:sz w:val="20"/>
                <w:szCs w:val="20"/>
              </w:rPr>
              <w:t xml:space="preserve"> 1 </w:t>
            </w:r>
            <w:proofErr w:type="spellStart"/>
            <w:r>
              <w:rPr>
                <w:sz w:val="20"/>
                <w:szCs w:val="20"/>
              </w:rPr>
              <w:t>розділу</w:t>
            </w:r>
            <w:proofErr w:type="spellEnd"/>
            <w:r>
              <w:rPr>
                <w:sz w:val="20"/>
                <w:szCs w:val="20"/>
              </w:rPr>
              <w:t xml:space="preserve"> III)</w:t>
            </w:r>
          </w:p>
        </w:tc>
      </w:tr>
    </w:tbl>
    <w:p w:rsidR="00640D4E" w:rsidRDefault="00640D4E" w:rsidP="00640D4E">
      <w:pPr>
        <w:pStyle w:val="a4"/>
        <w:ind w:left="4956"/>
        <w:jc w:val="both"/>
        <w:rPr>
          <w:b/>
          <w:lang w:val="uk-UA"/>
        </w:rPr>
      </w:pPr>
      <w:r>
        <w:rPr>
          <w:sz w:val="20"/>
          <w:szCs w:val="20"/>
          <w:lang w:val="uk-UA"/>
        </w:rPr>
        <w:br w:type="textWrapping" w:clear="all"/>
      </w:r>
      <w:r>
        <w:rPr>
          <w:b/>
          <w:lang w:val="uk-UA"/>
        </w:rPr>
        <w:t>Відомості про зміну складу посадових осіб емітента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8"/>
        <w:gridCol w:w="1653"/>
        <w:gridCol w:w="1656"/>
      </w:tblGrid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вчинення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дії</w:t>
            </w:r>
            <w:proofErr w:type="spellEnd"/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Посада*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proofErr w:type="spellStart"/>
            <w:r>
              <w:rPr>
                <w:b/>
                <w:sz w:val="20"/>
                <w:szCs w:val="20"/>
              </w:rPr>
              <w:t>Ідентифікаційний</w:t>
            </w:r>
            <w:proofErr w:type="spellEnd"/>
            <w:r>
              <w:rPr>
                <w:b/>
                <w:sz w:val="20"/>
                <w:szCs w:val="20"/>
              </w:rPr>
              <w:t xml:space="preserve"> код </w:t>
            </w:r>
            <w:proofErr w:type="spellStart"/>
            <w:r>
              <w:rPr>
                <w:b/>
                <w:sz w:val="20"/>
                <w:szCs w:val="20"/>
              </w:rPr>
              <w:t>юридичної</w:t>
            </w:r>
            <w:proofErr w:type="spellEnd"/>
            <w:r>
              <w:rPr>
                <w:b/>
                <w:sz w:val="20"/>
                <w:szCs w:val="20"/>
              </w:rPr>
              <w:t xml:space="preserve"> особи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Розмір частки в статутному капіталі емітента (у відсотках)</w:t>
            </w: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6</w:t>
            </w: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Албур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Степанович</w:t>
            </w:r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0.15025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припинено повноваження </w:t>
            </w:r>
            <w:proofErr w:type="spellStart"/>
            <w:r>
              <w:rPr>
                <w:sz w:val="20"/>
                <w:szCs w:val="20"/>
                <w:lang w:val="uk-UA"/>
              </w:rPr>
              <w:t>дiючого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наглядової ради Товариства.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посадова особа перебувала з 18.05.2018р. Посадова особа була  представником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Товариства з обмеженою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вiдповiдальнiстю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"Виробничо-</w:t>
            </w:r>
            <w:proofErr w:type="spellStart"/>
            <w:r>
              <w:rPr>
                <w:sz w:val="20"/>
                <w:szCs w:val="20"/>
                <w:lang w:val="uk-UA"/>
              </w:rPr>
              <w:t>комерцiйна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Едвард"(код ЄДРПОУ: 34234984), який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Товариства" у </w:t>
            </w:r>
            <w:proofErr w:type="spellStart"/>
            <w:r>
              <w:rPr>
                <w:sz w:val="20"/>
                <w:szCs w:val="20"/>
                <w:lang w:val="uk-UA"/>
              </w:rPr>
              <w:t>розмiрi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55,204966%</w:t>
            </w:r>
          </w:p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Леонова Галина </w:t>
            </w:r>
            <w:proofErr w:type="spellStart"/>
            <w:r>
              <w:rPr>
                <w:sz w:val="20"/>
                <w:szCs w:val="20"/>
                <w:lang w:val="uk-UA"/>
              </w:rPr>
              <w:t>Петрiвна</w:t>
            </w:r>
            <w:proofErr w:type="spellEnd"/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0.00283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припинено повноваження </w:t>
            </w:r>
            <w:proofErr w:type="spellStart"/>
            <w:r>
              <w:rPr>
                <w:sz w:val="20"/>
                <w:szCs w:val="20"/>
                <w:lang w:val="uk-UA"/>
              </w:rPr>
              <w:t>дiючого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наглядової ради Товариства.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посадова особа перебувала з 18.05.2018р.  Посадова особа була  представником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Товариства з обмеженою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вiдповiдальнiстю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"Виробничо-</w:t>
            </w:r>
            <w:proofErr w:type="spellStart"/>
            <w:r>
              <w:rPr>
                <w:sz w:val="20"/>
                <w:szCs w:val="20"/>
                <w:lang w:val="uk-UA"/>
              </w:rPr>
              <w:t>комерцiйна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Едвард"(код ЄДРПОУ: 34234984), який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Товариства" у </w:t>
            </w:r>
            <w:proofErr w:type="spellStart"/>
            <w:r>
              <w:rPr>
                <w:sz w:val="20"/>
                <w:szCs w:val="20"/>
                <w:lang w:val="uk-UA"/>
              </w:rPr>
              <w:t>розмiрi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55,204966%</w:t>
            </w:r>
          </w:p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Герман </w:t>
            </w:r>
            <w:proofErr w:type="spellStart"/>
            <w:r>
              <w:rPr>
                <w:sz w:val="20"/>
                <w:szCs w:val="20"/>
                <w:lang w:val="uk-UA"/>
              </w:rPr>
              <w:t>Андрiй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Вiкторович</w:t>
            </w:r>
            <w:proofErr w:type="spellEnd"/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припинено повноваження </w:t>
            </w:r>
            <w:proofErr w:type="spellStart"/>
            <w:r>
              <w:rPr>
                <w:sz w:val="20"/>
                <w:szCs w:val="20"/>
                <w:lang w:val="uk-UA"/>
              </w:rPr>
              <w:t>дiючого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наглядової ради Товариства.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посадова особа перебувала з 18.05.2018р.  Посадова особа була  представником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Товариства з обмеженою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вiдповiдальнiстю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"Виробничо-</w:t>
            </w:r>
            <w:proofErr w:type="spellStart"/>
            <w:r>
              <w:rPr>
                <w:sz w:val="20"/>
                <w:szCs w:val="20"/>
                <w:lang w:val="uk-UA"/>
              </w:rPr>
              <w:t>комерцiйна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Едвард"(код ЄДРПОУ: 34234984), який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Товариства" у </w:t>
            </w:r>
            <w:proofErr w:type="spellStart"/>
            <w:r>
              <w:rPr>
                <w:sz w:val="20"/>
                <w:szCs w:val="20"/>
                <w:lang w:val="uk-UA"/>
              </w:rPr>
              <w:t>розмiрi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55,204966%</w:t>
            </w: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Лiвiк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</w:t>
            </w:r>
            <w:proofErr w:type="spellStart"/>
            <w:r>
              <w:rPr>
                <w:sz w:val="20"/>
                <w:szCs w:val="20"/>
                <w:lang w:val="uk-UA"/>
              </w:rPr>
              <w:t>Вiкентiївна</w:t>
            </w:r>
            <w:proofErr w:type="spellEnd"/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припинено повноваження </w:t>
            </w:r>
            <w:proofErr w:type="spellStart"/>
            <w:r>
              <w:rPr>
                <w:sz w:val="20"/>
                <w:szCs w:val="20"/>
                <w:lang w:val="uk-UA"/>
              </w:rPr>
              <w:t>дiючого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наглядової ради Товариства.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посадова особа перебувала з 18.05.2018р.  Посадова особа була  представником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Товариства з обмеженою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вiдповiдальнiстю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"Виробничо-</w:t>
            </w:r>
            <w:proofErr w:type="spellStart"/>
            <w:r>
              <w:rPr>
                <w:sz w:val="20"/>
                <w:szCs w:val="20"/>
                <w:lang w:val="uk-UA"/>
              </w:rPr>
              <w:t>комерцiйна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Едвард"(код ЄДРПОУ: 34234984), який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Товариства" у </w:t>
            </w:r>
            <w:proofErr w:type="spellStart"/>
            <w:r>
              <w:rPr>
                <w:sz w:val="20"/>
                <w:szCs w:val="20"/>
                <w:lang w:val="uk-UA"/>
              </w:rPr>
              <w:t>розмiрi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55,204966%</w:t>
            </w: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Шулик </w:t>
            </w:r>
            <w:proofErr w:type="spellStart"/>
            <w:r>
              <w:rPr>
                <w:sz w:val="20"/>
                <w:szCs w:val="20"/>
                <w:lang w:val="uk-UA"/>
              </w:rPr>
              <w:t>Андрiй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Васильович</w:t>
            </w:r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припинено повноваження </w:t>
            </w:r>
            <w:proofErr w:type="spellStart"/>
            <w:r>
              <w:rPr>
                <w:sz w:val="20"/>
                <w:szCs w:val="20"/>
                <w:lang w:val="uk-UA"/>
              </w:rPr>
              <w:t>дiючого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наглядової ради Товариства.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посадова особа перебувала з 18.05.2018р. Посадова особа була  представником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Товариства з обмеженою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вiдповiдальнiстю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"Виробничо-</w:t>
            </w:r>
            <w:proofErr w:type="spellStart"/>
            <w:r>
              <w:rPr>
                <w:sz w:val="20"/>
                <w:szCs w:val="20"/>
                <w:lang w:val="uk-UA"/>
              </w:rPr>
              <w:t>комерцiйна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Едвард"(код ЄДРПОУ: 34234984), який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lastRenderedPageBreak/>
              <w:t xml:space="preserve">Товариства" у </w:t>
            </w:r>
            <w:proofErr w:type="spellStart"/>
            <w:r>
              <w:rPr>
                <w:sz w:val="20"/>
                <w:szCs w:val="20"/>
                <w:lang w:val="uk-UA"/>
              </w:rPr>
              <w:t>розмiрi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55,204966%</w:t>
            </w:r>
          </w:p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Голова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Папук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</w:t>
            </w:r>
            <w:proofErr w:type="spellStart"/>
            <w:r>
              <w:rPr>
                <w:sz w:val="20"/>
                <w:szCs w:val="20"/>
                <w:lang w:val="uk-UA"/>
              </w:rPr>
              <w:t>Федорiвна</w:t>
            </w:r>
            <w:proofErr w:type="spellEnd"/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0.00567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припинено повноваження </w:t>
            </w:r>
            <w:proofErr w:type="spellStart"/>
            <w:r>
              <w:rPr>
                <w:sz w:val="20"/>
                <w:szCs w:val="20"/>
                <w:lang w:val="uk-UA"/>
              </w:rPr>
              <w:t>дiючого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пийняте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скасуванням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припинення положення про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посадова особа перебувала з 18.05.2018р. </w:t>
            </w:r>
            <w:proofErr w:type="spellStart"/>
            <w:r>
              <w:rPr>
                <w:sz w:val="20"/>
                <w:szCs w:val="20"/>
                <w:lang w:val="uk-UA"/>
              </w:rPr>
              <w:t>Замiсть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особи, повноваження якої припиняються, </w:t>
            </w:r>
            <w:proofErr w:type="spellStart"/>
            <w:r>
              <w:rPr>
                <w:sz w:val="20"/>
                <w:szCs w:val="20"/>
                <w:lang w:val="uk-UA"/>
              </w:rPr>
              <w:t>нiкого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призначено.</w:t>
            </w:r>
          </w:p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Ревiзiйонї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Леоненко </w:t>
            </w:r>
            <w:proofErr w:type="spellStart"/>
            <w:r>
              <w:rPr>
                <w:sz w:val="20"/>
                <w:szCs w:val="20"/>
                <w:lang w:val="uk-UA"/>
              </w:rPr>
              <w:t>Марiя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Михайлiвна</w:t>
            </w:r>
            <w:proofErr w:type="spellEnd"/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0.02835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припинено повноваження </w:t>
            </w:r>
            <w:proofErr w:type="spellStart"/>
            <w:r>
              <w:rPr>
                <w:sz w:val="20"/>
                <w:szCs w:val="20"/>
                <w:lang w:val="uk-UA"/>
              </w:rPr>
              <w:t>дiючого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пийняте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скасуванням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припинення положення про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посадова особа перебувала з 18.05.2018р. </w:t>
            </w:r>
            <w:proofErr w:type="spellStart"/>
            <w:r>
              <w:rPr>
                <w:sz w:val="20"/>
                <w:szCs w:val="20"/>
                <w:lang w:val="uk-UA"/>
              </w:rPr>
              <w:t>Замiсть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особи, повноваження якої припиняються, </w:t>
            </w:r>
            <w:proofErr w:type="spellStart"/>
            <w:r>
              <w:rPr>
                <w:sz w:val="20"/>
                <w:szCs w:val="20"/>
                <w:lang w:val="uk-UA"/>
              </w:rPr>
              <w:t>нiкого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призначено.</w:t>
            </w:r>
          </w:p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припинено повноваження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Член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Загинайченко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Валентина </w:t>
            </w:r>
            <w:proofErr w:type="spellStart"/>
            <w:r>
              <w:rPr>
                <w:sz w:val="20"/>
                <w:szCs w:val="20"/>
                <w:lang w:val="uk-UA"/>
              </w:rPr>
              <w:t>Петрiвна</w:t>
            </w:r>
            <w:proofErr w:type="spellEnd"/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0.00425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припинено повноваження </w:t>
            </w:r>
            <w:proofErr w:type="spellStart"/>
            <w:r>
              <w:rPr>
                <w:sz w:val="20"/>
                <w:szCs w:val="20"/>
                <w:lang w:val="uk-UA"/>
              </w:rPr>
              <w:t>дiючого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складу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пийняте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зв'язку </w:t>
            </w:r>
            <w:proofErr w:type="spellStart"/>
            <w:r>
              <w:rPr>
                <w:sz w:val="20"/>
                <w:szCs w:val="20"/>
                <w:lang w:val="uk-UA"/>
              </w:rPr>
              <w:t>зi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скасуванням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припинення положення про </w:t>
            </w:r>
            <w:proofErr w:type="spellStart"/>
            <w:r>
              <w:rPr>
                <w:sz w:val="20"/>
                <w:szCs w:val="20"/>
                <w:lang w:val="uk-UA"/>
              </w:rPr>
              <w:t>ревiзiйну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комiсiю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На </w:t>
            </w:r>
            <w:proofErr w:type="spellStart"/>
            <w:r>
              <w:rPr>
                <w:sz w:val="20"/>
                <w:szCs w:val="20"/>
                <w:lang w:val="uk-UA"/>
              </w:rPr>
              <w:t>посадi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посадова особа перебувала з 18.05.2018р. </w:t>
            </w:r>
            <w:proofErr w:type="spellStart"/>
            <w:r>
              <w:rPr>
                <w:sz w:val="20"/>
                <w:szCs w:val="20"/>
                <w:lang w:val="uk-UA"/>
              </w:rPr>
              <w:t>Замiсть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особи, повноваження якої припиняються, </w:t>
            </w:r>
            <w:proofErr w:type="spellStart"/>
            <w:r>
              <w:rPr>
                <w:sz w:val="20"/>
                <w:szCs w:val="20"/>
                <w:lang w:val="uk-UA"/>
              </w:rPr>
              <w:t>нiкого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призначено.</w:t>
            </w:r>
          </w:p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Генеральний директор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Лiвiк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Петрович</w:t>
            </w:r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0.00567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</w:t>
            </w:r>
            <w:proofErr w:type="spellStart"/>
            <w:r>
              <w:rPr>
                <w:sz w:val="20"/>
                <w:szCs w:val="20"/>
                <w:lang w:val="uk-UA"/>
              </w:rPr>
              <w:t>пiдтверджено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повноваження Генерального директора </w:t>
            </w:r>
            <w:proofErr w:type="spellStart"/>
            <w:r>
              <w:rPr>
                <w:sz w:val="20"/>
                <w:szCs w:val="20"/>
                <w:lang w:val="uk-UA"/>
              </w:rPr>
              <w:t>Лiвiка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 Петровича, призначеного наглядовою радою Товариства (протокол </w:t>
            </w:r>
            <w:proofErr w:type="spellStart"/>
            <w:r>
              <w:rPr>
                <w:sz w:val="20"/>
                <w:szCs w:val="20"/>
                <w:lang w:val="uk-UA"/>
              </w:rPr>
              <w:t>засiдання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04.09.2019р. Посадову особу було обрано на безстроковий </w:t>
            </w:r>
            <w:proofErr w:type="spellStart"/>
            <w:r>
              <w:rPr>
                <w:sz w:val="20"/>
                <w:szCs w:val="20"/>
                <w:lang w:val="uk-UA"/>
              </w:rPr>
              <w:t>термiн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Розмiр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пакета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якими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0%.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посади: депутат Верховної Ради України, Генеральний директор ПрАТ "Зелений Гай".</w:t>
            </w:r>
          </w:p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Голова наглядової ради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Лiвiк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</w:t>
            </w:r>
            <w:proofErr w:type="spellStart"/>
            <w:r>
              <w:rPr>
                <w:sz w:val="20"/>
                <w:szCs w:val="20"/>
                <w:lang w:val="uk-UA"/>
              </w:rPr>
              <w:t>Вiкентiївна</w:t>
            </w:r>
            <w:proofErr w:type="spellEnd"/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0.97000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строком на 3 роки обрано до Наглядової ради Товариства </w:t>
            </w:r>
            <w:proofErr w:type="spellStart"/>
            <w:r>
              <w:rPr>
                <w:sz w:val="20"/>
                <w:szCs w:val="20"/>
                <w:lang w:val="uk-UA"/>
              </w:rPr>
              <w:t>Лiвiк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</w:t>
            </w:r>
            <w:proofErr w:type="spellStart"/>
            <w:r>
              <w:rPr>
                <w:sz w:val="20"/>
                <w:szCs w:val="20"/>
                <w:lang w:val="uk-UA"/>
              </w:rPr>
              <w:t>Вiкентiївна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наглядової ради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</w:t>
            </w:r>
            <w:proofErr w:type="spellStart"/>
            <w:r>
              <w:rPr>
                <w:sz w:val="20"/>
                <w:szCs w:val="20"/>
                <w:lang w:val="uk-UA"/>
              </w:rPr>
              <w:t>Лiвiк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Катерина </w:t>
            </w:r>
            <w:proofErr w:type="spellStart"/>
            <w:r>
              <w:rPr>
                <w:sz w:val="20"/>
                <w:szCs w:val="20"/>
                <w:lang w:val="uk-UA"/>
              </w:rPr>
              <w:t>Вiкентiївна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була обрана головою наглядової ради.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Посадова особа є представником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Товариства з обмеженою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вiдповiдальнiстю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"Виробничо-</w:t>
            </w:r>
            <w:proofErr w:type="spellStart"/>
            <w:r>
              <w:rPr>
                <w:sz w:val="20"/>
                <w:szCs w:val="20"/>
                <w:lang w:val="uk-UA"/>
              </w:rPr>
              <w:t>комерцiйна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Едвард"(код ЄДРПОУ: 34234984), який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Товариства" у </w:t>
            </w:r>
            <w:proofErr w:type="spellStart"/>
            <w:r>
              <w:rPr>
                <w:sz w:val="20"/>
                <w:szCs w:val="20"/>
                <w:lang w:val="uk-UA"/>
              </w:rPr>
              <w:t>розмiрi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55,204966%.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Лiвiк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К.В. </w:t>
            </w:r>
            <w:proofErr w:type="spellStart"/>
            <w:r>
              <w:rPr>
                <w:sz w:val="20"/>
                <w:szCs w:val="20"/>
                <w:lang w:val="uk-UA"/>
              </w:rPr>
              <w:t>обiймала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посади:  01.01.2012р.-14.04.2015р. бухгалтер Товариства, 15.04.2015р. - до </w:t>
            </w:r>
            <w:proofErr w:type="spellStart"/>
            <w:r>
              <w:rPr>
                <w:sz w:val="20"/>
                <w:szCs w:val="20"/>
                <w:lang w:val="uk-UA"/>
              </w:rPr>
              <w:t>теперiшнього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часу заступник головного бухгалтера по </w:t>
            </w:r>
            <w:proofErr w:type="spellStart"/>
            <w:r>
              <w:rPr>
                <w:sz w:val="20"/>
                <w:szCs w:val="20"/>
                <w:lang w:val="uk-UA"/>
              </w:rPr>
              <w:t>промисловостi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</w:t>
            </w:r>
          </w:p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  <w:tr w:rsidR="00640D4E" w:rsidTr="00640D4E"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14.06.2021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обрано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член наглядової ради</w:t>
            </w: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Бiлий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Iгор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0.00000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0D4E" w:rsidRDefault="00640D4E">
            <w:pPr>
              <w:pStyle w:val="a4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t>Зміст інформації</w:t>
            </w:r>
          </w:p>
        </w:tc>
      </w:tr>
      <w:tr w:rsidR="00640D4E" w:rsidTr="00640D4E"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Рiшенням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ПрАТ "Зелений Гай" </w:t>
            </w:r>
            <w:proofErr w:type="spellStart"/>
            <w:r>
              <w:rPr>
                <w:sz w:val="20"/>
                <w:szCs w:val="20"/>
                <w:lang w:val="uk-UA"/>
              </w:rPr>
              <w:t>вiд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14.06.2021р.  строком на 3 роки обрано до Наглядової ради Товариства </w:t>
            </w:r>
            <w:proofErr w:type="spellStart"/>
            <w:r>
              <w:rPr>
                <w:sz w:val="20"/>
                <w:szCs w:val="20"/>
                <w:lang w:val="uk-UA"/>
              </w:rPr>
              <w:t>Бiлий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Iгор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Миколайович. Непогашена </w:t>
            </w:r>
            <w:proofErr w:type="spellStart"/>
            <w:r>
              <w:rPr>
                <w:sz w:val="20"/>
                <w:szCs w:val="20"/>
                <w:lang w:val="uk-UA"/>
              </w:rPr>
              <w:t>судимiсть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 </w:t>
            </w:r>
            <w:proofErr w:type="spellStart"/>
            <w:r>
              <w:rPr>
                <w:sz w:val="20"/>
                <w:szCs w:val="20"/>
                <w:lang w:val="uk-UA"/>
              </w:rPr>
              <w:t>корисливi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та </w:t>
            </w:r>
            <w:proofErr w:type="spellStart"/>
            <w:r>
              <w:rPr>
                <w:sz w:val="20"/>
                <w:szCs w:val="20"/>
                <w:lang w:val="uk-UA"/>
              </w:rPr>
              <w:t>посадовi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злочини </w:t>
            </w:r>
            <w:proofErr w:type="spellStart"/>
            <w:r>
              <w:rPr>
                <w:sz w:val="20"/>
                <w:szCs w:val="20"/>
                <w:lang w:val="uk-UA"/>
              </w:rPr>
              <w:t>вiдсутня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lastRenderedPageBreak/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рiчних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 </w:t>
            </w:r>
            <w:proofErr w:type="spellStart"/>
            <w:r>
              <w:rPr>
                <w:sz w:val="20"/>
                <w:szCs w:val="20"/>
                <w:lang w:val="uk-UA"/>
              </w:rPr>
              <w:t>мiстить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обгрунтування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змiн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 персональному </w:t>
            </w:r>
            <w:proofErr w:type="spellStart"/>
            <w:r>
              <w:rPr>
                <w:sz w:val="20"/>
                <w:szCs w:val="20"/>
                <w:lang w:val="uk-UA"/>
              </w:rPr>
              <w:t>складi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посадових </w:t>
            </w:r>
            <w:proofErr w:type="spellStart"/>
            <w:r>
              <w:rPr>
                <w:sz w:val="20"/>
                <w:szCs w:val="20"/>
                <w:lang w:val="uk-UA"/>
              </w:rPr>
              <w:t>осiб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/>
              </w:rPr>
              <w:t>Рiшення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загальних </w:t>
            </w:r>
            <w:proofErr w:type="spellStart"/>
            <w:r>
              <w:rPr>
                <w:sz w:val="20"/>
                <w:szCs w:val="20"/>
                <w:lang w:val="uk-UA"/>
              </w:rPr>
              <w:t>зборiв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прийнято на </w:t>
            </w:r>
            <w:proofErr w:type="spellStart"/>
            <w:r>
              <w:rPr>
                <w:sz w:val="20"/>
                <w:szCs w:val="20"/>
                <w:lang w:val="uk-UA"/>
              </w:rPr>
              <w:t>пiдставi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ЗУ "Про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акцiонернi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товариства",статуту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Товариства. Посадова особа є представником </w:t>
            </w:r>
            <w:proofErr w:type="spellStart"/>
            <w:r>
              <w:rPr>
                <w:sz w:val="20"/>
                <w:szCs w:val="20"/>
                <w:lang w:val="uk-UA"/>
              </w:rPr>
              <w:t>акцiонера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- Товариства з обмеженою </w:t>
            </w:r>
            <w:proofErr w:type="spellStart"/>
            <w:r>
              <w:rPr>
                <w:sz w:val="20"/>
                <w:szCs w:val="20"/>
                <w:lang w:val="uk-UA"/>
              </w:rPr>
              <w:t>вiдповiдальнiстю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"Виробничо-</w:t>
            </w:r>
            <w:proofErr w:type="spellStart"/>
            <w:r>
              <w:rPr>
                <w:sz w:val="20"/>
                <w:szCs w:val="20"/>
                <w:lang w:val="uk-UA"/>
              </w:rPr>
              <w:t>комерцiйна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фiрма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Едвард"(код ЄДРПОУ: 34234984), який </w:t>
            </w:r>
            <w:proofErr w:type="spellStart"/>
            <w:r>
              <w:rPr>
                <w:sz w:val="20"/>
                <w:szCs w:val="20"/>
                <w:lang w:val="uk-UA"/>
              </w:rPr>
              <w:t>володiє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пакетом </w:t>
            </w:r>
            <w:proofErr w:type="spellStart"/>
            <w:r>
              <w:rPr>
                <w:sz w:val="20"/>
                <w:szCs w:val="20"/>
                <w:lang w:val="uk-UA"/>
              </w:rPr>
              <w:t>акцiй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Товариства" у </w:t>
            </w:r>
            <w:proofErr w:type="spellStart"/>
            <w:r>
              <w:rPr>
                <w:sz w:val="20"/>
                <w:szCs w:val="20"/>
                <w:lang w:val="uk-UA"/>
              </w:rPr>
              <w:t>розмiрi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55,204966%. Протягом </w:t>
            </w:r>
            <w:proofErr w:type="spellStart"/>
            <w:r>
              <w:rPr>
                <w:sz w:val="20"/>
                <w:szCs w:val="20"/>
                <w:lang w:val="uk-UA"/>
              </w:rPr>
              <w:t>останнiх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5 </w:t>
            </w:r>
            <w:proofErr w:type="spellStart"/>
            <w:r>
              <w:rPr>
                <w:sz w:val="20"/>
                <w:szCs w:val="20"/>
                <w:lang w:val="uk-UA"/>
              </w:rPr>
              <w:t>рокiв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Бiлий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Iгор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Миколайович </w:t>
            </w:r>
            <w:proofErr w:type="spellStart"/>
            <w:r>
              <w:rPr>
                <w:sz w:val="20"/>
                <w:szCs w:val="20"/>
                <w:lang w:val="uk-UA"/>
              </w:rPr>
              <w:t>обiймав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посади: 01.01.2016р.-14.05.2021р.  Директор ТОВ "</w:t>
            </w:r>
            <w:proofErr w:type="spellStart"/>
            <w:r>
              <w:rPr>
                <w:sz w:val="20"/>
                <w:szCs w:val="20"/>
                <w:lang w:val="uk-UA"/>
              </w:rPr>
              <w:t>Укрпромексiм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", 15.05.2021р. - до </w:t>
            </w:r>
            <w:proofErr w:type="spellStart"/>
            <w:r>
              <w:rPr>
                <w:sz w:val="20"/>
                <w:szCs w:val="20"/>
                <w:lang w:val="uk-UA"/>
              </w:rPr>
              <w:t>теперiшнього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часу директор ТОВ "</w:t>
            </w:r>
            <w:proofErr w:type="spellStart"/>
            <w:r>
              <w:rPr>
                <w:sz w:val="20"/>
                <w:szCs w:val="20"/>
                <w:lang w:val="uk-UA"/>
              </w:rPr>
              <w:t>Возтрансенергоiнвест</w:t>
            </w:r>
            <w:proofErr w:type="spellEnd"/>
            <w:r>
              <w:rPr>
                <w:sz w:val="20"/>
                <w:szCs w:val="20"/>
                <w:lang w:val="uk-UA"/>
              </w:rPr>
              <w:t>".</w:t>
            </w:r>
          </w:p>
          <w:p w:rsidR="00640D4E" w:rsidRDefault="00640D4E">
            <w:pPr>
              <w:pStyle w:val="a4"/>
              <w:rPr>
                <w:sz w:val="20"/>
                <w:szCs w:val="20"/>
                <w:lang w:val="uk-UA"/>
              </w:rPr>
            </w:pPr>
          </w:p>
        </w:tc>
      </w:tr>
    </w:tbl>
    <w:p w:rsidR="00640D4E" w:rsidRDefault="00640D4E" w:rsidP="00640D4E"/>
    <w:p w:rsidR="003C4C1A" w:rsidRDefault="003C4C1A" w:rsidP="00C86AFD">
      <w:pPr>
        <w:rPr>
          <w:lang w:val="en-US"/>
        </w:rPr>
      </w:pPr>
      <w:bookmarkStart w:id="1" w:name="_GoBack"/>
      <w:bookmarkEnd w:id="1"/>
    </w:p>
    <w:sectPr w:rsidR="003C4C1A" w:rsidSect="00577BF1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BF1"/>
    <w:rsid w:val="00020BCB"/>
    <w:rsid w:val="001714DF"/>
    <w:rsid w:val="002D6506"/>
    <w:rsid w:val="003275D1"/>
    <w:rsid w:val="00375E69"/>
    <w:rsid w:val="003C4C1A"/>
    <w:rsid w:val="004263EB"/>
    <w:rsid w:val="0044001B"/>
    <w:rsid w:val="004E61FF"/>
    <w:rsid w:val="00531337"/>
    <w:rsid w:val="00577BF1"/>
    <w:rsid w:val="00640D4E"/>
    <w:rsid w:val="006C6B5C"/>
    <w:rsid w:val="007E37D1"/>
    <w:rsid w:val="007F5510"/>
    <w:rsid w:val="00902454"/>
    <w:rsid w:val="009A60E3"/>
    <w:rsid w:val="009F2C05"/>
    <w:rsid w:val="00A372E3"/>
    <w:rsid w:val="00B71B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3EA0C-8DB2-4647-9B0F-33596F5B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iPriority w:val="99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7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&#1030;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B74812-8B4C-4773-841F-EEB56E35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</Template>
  <TotalTime>0</TotalTime>
  <Pages>4</Pages>
  <Words>1739</Words>
  <Characters>9914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11630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1</dc:creator>
  <cp:keywords/>
  <dc:description/>
  <cp:lastModifiedBy>1</cp:lastModifiedBy>
  <cp:revision>2</cp:revision>
  <cp:lastPrinted>2013-07-11T13:29:00Z</cp:lastPrinted>
  <dcterms:created xsi:type="dcterms:W3CDTF">2021-06-15T08:55:00Z</dcterms:created>
  <dcterms:modified xsi:type="dcterms:W3CDTF">2021-06-15T08:55:00Z</dcterms:modified>
</cp:coreProperties>
</file>